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20 224 vom 11. Juli 2022</w:t>
      </w:r>
    </w:p>
    <w:p>
      <w:r>
        <w:t>VS Kantonsgericht, 2022-07-11, FR</w:t>
      </w:r>
    </w:p>
    <w:p>
      <w:r>
        <w:rPr>
          <w:b/>
        </w:rPr>
        <w:t xml:space="preserve">Quelle: </w:t>
      </w:r>
      <w:r>
        <w:t>https://mcp.opencaselaw.ch/entscheid/vs_gerichte_C1 20 224</w:t>
      </w:r>
    </w:p>
    <w:p>
      <w:r>
        <w:t>FR: VS_GERICHTE C1 20 224 du 11 juillet 2022</w:t>
      </w:r>
    </w:p>
    <w:p>
      <w:r>
        <w:t>IT: VS_GERICHTE C1 20 224 del 11 luglio 2022</w:t>
      </w:r>
    </w:p>
    <w:p>
      <w:pPr>
        <w:pStyle w:val="Heading2"/>
      </w:pPr>
      <w:r>
        <w:t>Regeste</w:t>
      </w:r>
    </w:p>
    <w:p>
      <w:r>
        <w:t>C1 20 224 ARRET DU 11 JUILLET 2022 Tribunal cantonal du Valais Cour civile I Composition : Jérôme Emonet, président; Dr. Lionel Seeberger et Camille Rey-Mermet, juges; Laura Jost, greffière en la cause X _________, et Y _________, demandeurs et appelants, représentés par Maître Michel Ducrot, avocat à Martigny, contre Etat du Valais, à Sion, défendeur et appelé, représenté par Maître Grégoire Dayer, avo- cat à Sion. (entreprise; expertise) appel contre le jugement du 11 octobre 2019 du juge du district de Sion</w:t>
      </w:r>
    </w:p>
    <w:p>
      <w:pPr>
        <w:pStyle w:val="Heading2"/>
      </w:pPr>
      <w:r>
        <w:t>Erwägungen</w:t>
      </w:r>
    </w:p>
    <w:p>
      <w:r>
        <w:rPr>
          <w:b/>
        </w:rPr>
        <w:t>E. 1</w:t>
      </w:r>
    </w:p>
    <w:p>
      <w:r>
        <w:t>CPC). Dès lors que les décisions en matière de preuve ne peuvent, sauf exceptions non réali- sées en l'espèce (cf. art. 319 let. b CPC), faire l'objet d'un recours immédiat, les appe- lants sont fondés à contester les ordonnances d'instruction rendues les 16 août 2017 et 11 mars 2019 par le juge de district dans le cadre de leur appel (arrêt 4A_137/2013 du 7 novembre 2013 consid. 4).</w:t>
      </w:r>
    </w:p>
    <w:p>
      <w:r>
        <w:rPr>
          <w:b/>
        </w:rPr>
        <w:t>E. 1.1</w:t>
      </w:r>
    </w:p>
    <w:p>
      <w:r>
        <w:t>Dans les affaires patrimoniales, la voie de l'appel au Tribunal cantonal (art. 5 al. 1 let. b LACPC) est ouverte contre les décisions finales de première instance si la valeur litigieuse au dernier état des conclusions est de 10'000 fr. au moins (art. 308 al. 1 let. a et al. 2 CPC). En l'espèce, le montant encore litigieux au moment du jugement de première instance s'élevait à 5'528'596 fr. 40. L'appel, déposé dans les 30 jours suivant la notification du jugement de première instance aux demandeurs, a été formé en temps utile (art. 311 al.</w:t>
      </w:r>
    </w:p>
    <w:p>
      <w:r>
        <w:rPr>
          <w:b/>
        </w:rPr>
        <w:t>E. 1.2</w:t>
      </w:r>
    </w:p>
    <w:p>
      <w:r>
        <w:t>L'appel peut être formé pour violation du droit ou constatation inexacte des faits (art. 310 al. 1 CPC). L'autorité d'appel jouit d’un pouvoir d’examen complet de la cause. Elle contrôle librement l'appréciation des preuves effectuée par le tribunal de première ins- tance (art. 157 CPC en relation avec l'art. 310 let. b CPC) et vérifie si celui-ci pouvait admettre les faits qu'il a retenus (ATF 138 III 374 consid. 4.3.1). Elle applique le droit d'office, sans être liée par les griefs des parties, et peut substituer ses propres motifs à ceux de la décision attaquée (HOHL, Procédure civile, T. II, 2e éd., 2010, nos 2396 et 2416). Sous réserve de vices manifestes, l'instance d'appel se limite toutefois à statuer sur les critiques que les parties formulent dans leurs écritures (art. 311 al. 1 et 312 al. 1 CPC; ATF 142 III 413 consid. 2.2.4).</w:t>
      </w:r>
    </w:p>
    <w:p>
      <w:r>
        <w:rPr>
          <w:b/>
        </w:rPr>
        <w:t>E. 2.1</w:t>
      </w:r>
    </w:p>
    <w:p>
      <w:r>
        <w:t>En premier lieu, les appelants se plaignent d'une violation des articles 29 al. 2 Cst. féd. et 53 al. 1 CPC qui garantissent, de manière générale, le droit d'être entendu des parties, en faisant valoir qu'il n'y aurait pas eu d'expertise rendue par un expert désigné par le juge de district.</w:t>
      </w:r>
    </w:p>
    <w:p>
      <w:r>
        <w:rPr>
          <w:b/>
        </w:rPr>
        <w:t>E. 2.2</w:t>
      </w:r>
    </w:p>
    <w:p>
      <w:r>
        <w:t>En tant qu'aspect du droit d'être entendu, le droit à la preuve est spécifiquement consacré par l'article 152 CPC, si bien que le reproche au tribunal de ne pas avoir admi- nistré un moyen de preuve doit être formulé au titre de la violation de cette disposition</w:t>
      </w:r>
    </w:p>
    <w:p>
      <w:r>
        <w:t>- 7 - (arrêt 5A_763/2018 du 1er juillet 2019 consid. 2.1.1.1; cf. ég. arrêt 5A_645/2016 du 18 mai 2017 consid. 3.2.1). Le droit à la preuve est violé lorsqu'un moyen de preuve, régulièrement requis et objectivement adéquat à établir un fait pertinent, n'est pas mis en œuvre; le juge est cependant fondé à renoncer à des mesures probatoires lorsque, sur la base des preuves déjà administrées, il s'est forgé une conviction et que, par une appréciation anticipée des preuves, il considère l'administration d'autres preuves inutile car impropre à modifier sa conviction (ATF 143 III 297 consid. 9.3.2 et les réf. citées). Contrairement à ce qu'arguent les appelants, leur premier grief ne peut être appréhendé comme une violation du droit à la preuve, puisque le juge de district a donné suite à l'offre des parties de mettre en œuvre une expertise et a mandaté un expert qualifié à cette fin. Leur critique se situe à un stade ultérieur. En effet, ils reprochent au magistrat d'avoir tenu compte d'un rapport d'expertise qui n'aurait pas été intégralement réalisé par l'expert et de lui avoir, ce nonobstant, reconnu un caractère probant. Ce faisant, ils s'en prennent à l'appréciation des preuves effectuée en première instance.</w:t>
      </w:r>
    </w:p>
    <w:p>
      <w:r>
        <w:rPr>
          <w:b/>
        </w:rPr>
        <w:t>E. 2.3</w:t>
      </w:r>
    </w:p>
    <w:p>
      <w:r>
        <w:t>Le juge constate les faits de manière inexacte lorsque, dans le cadre de sa libre appréciation des preuves (art. 157 CPC), il considère une expertise comme concluante alors qu'il y avait des raisons valables de s'en écarter. De telles raisons peuvent résider dans des vices de procédure résultant notamment de la réalisation de l'expertise, tels que le fait que l'expert n'a pas eu connaissance du dossier de la procédure ou qu'il n'a pas effectué personnellement l'expertise alors qu'il y était tenu. En cas de doute irréduc- tible sur la force de conviction d'un rapport d'expertise, il est en règle générale indispen- sable de diligenter une nouvelle expertise (arrêt 5P.27/2001 du 8 juin 2001 consid. 1b; RÜETSCHI, Berner Kommentar, 2012, n. 43 ad art. 183 CPC). Il convient ainsi d'examiner si les griefs d'ordre formel émis à l'encontre de l'expertise réalisée en première instance justifient de nier le caractère probant de tout ou partie du rapport du 11 mars 2016 et, dans l'affirmative, de déterminer si et dans quelle mesure l'administration de cette preuve doit être renouvelée en appel (art. 316 al. 3 CPC).</w:t>
      </w:r>
    </w:p>
    <w:p>
      <w:r>
        <w:rPr>
          <w:b/>
        </w:rPr>
        <w:t>E. 3.1</w:t>
      </w:r>
    </w:p>
    <w:p>
      <w:r>
        <w:t>L’expert judiciaire doit, grâce à son expérience et à ses compétences particulières, fournir au tribunal les connaissances spécialisées nécessaires pour le jugement d'une affaire (arrêt 4A_85/2017 du 4 septembre 2017 consid. 2.2.1 et les réf. citées). L'expert est spécifiquement mandaté en raison de ce savoir et ses considérations sont souvent décisives pour l'issue du procès; il est par conséquent tenu de fournir une prestation strictement personnelle (RÜETSCHI, n. 13 ad art. 183 CPC). En pratique, il est toutefois</w:t>
      </w:r>
    </w:p>
    <w:p>
      <w:r>
        <w:t>- 8 - courant - et souvent indispensable à la reddition d'un rapport d'expertise dans un délai raisonnable (cf. art. 185 al. 3 et 188 al. 1 CPC) - que l'expert travaille en collaboration avec d'autres personnes (SCHWEIZER, Commentaire romand, 2e éd., 2019, n. 8 ad art. 183 CPC). Moyennant le respect des réquisits procéduraux, dont font partie les règles sur la récusation, les principes du droit d'être entendu et de l'égalité de traitement des parties, ainsi que l'obligation de prestation personnelle, l'expert est libre d'organiser le déroulement de l'expertise comme il l'entend (RÜETSCHI, n. 24 ad art. 183 CPC). Le Tribunal fédéral a eu l'occasion de concrétiser la portée du devoir d'exécution per- sonnelle de l'expert, notamment en matière d'expertise médicale dans le domaine des assurances sociales, et de discerner ce qui relevait de la simple assistance à l'expert et ce qui représentait une délégation, même partielle, du travail d'expertise à un tiers. Il a ainsi retenu que l'obligation d'exécuter personnellement le mandat d'expertise n'exclut pas de recourir à l'aide d'un auxiliaire, qui agit selon les instructions et sous la surveil- lance de l'expert, pour effectuer des tâches subordonnées, par exemple des analyses techniques, du travail de recherche, de rédaction, de copies ou de vérification. Une telle assistance fournie par un tiers qualifié pour des tâches secondaires est admissible pour autant que la responsabilité de l'expertise, en particulier le raisonnement, la synthèse et les réponses aux questions, reste entre les mains de l'expert mandaté. Parmi les tâches qui ne peuvent être déléguées figurent la prise de connaissance du dossier dans sa totalité et son analyse critique, ainsi que le travail de réflexion en vue de l'appréciation du cas et de la formulation des conclusions. De même, la démarche consistant à établir un résumé du dossier à l'attention de l'expert implique une analyse qui comprend déjà une certaine marge d'interprétation car, même si le résumé ne contient que des extraits des pièces du dossier, il repose sur une sélection des dates, informations et données qui sont considérées comme déterminantes pour son auteur; une telle sélection contri- bue au résultat de l'expertise (ATF 146 V 9 consid. 4.2 et les réf. citées; arrêt 9C_525/2020 du 29 avril 2021 consid. 4.1.2). Est également inexploitable l'expertise pour laquelle l'expert délègue l'ensemble de la collecte d'informations à un jeune méde- cin-assistant, sans jamais examiner personnellement le patient (arrêt du 2 septembre 1997 du Tribunal de cassation zurichois consid. 3, in ZR 1998, n. 25, p. 75 ss).</w:t>
      </w:r>
    </w:p>
    <w:p>
      <w:r>
        <w:rPr>
          <w:b/>
        </w:rPr>
        <w:t>E. 3.2</w:t>
      </w:r>
    </w:p>
    <w:p>
      <w:r>
        <w:t>En l'occurrence, les appelants soutiennent que l'expertise n'a pas été réalisée par l'expert désigné par le tribunal de district. a. Ils relèvent premièrement que l'expert n'a pas signé le rapport du 11 mars 2016 et que c'est son fils qui l'a rédigé.</w:t>
      </w:r>
    </w:p>
    <w:p>
      <w:r>
        <w:t>- 9 - Avec le premier juge, on doit admettre que l'absence de signature manuscrite apposée à côté du nom imprimé de l'expert au bas du rapport ne permet pas de conclure que ce dernier n'est pas l'auteur de ce document, ni de dénier toute force probante à celui-ci. La loi, qui prévoit que le rapport d'expertise peut être rendu par écrit ou consigné dans un procès-verbal relu et signé (art. 187 al. 1 et 2 CPC et 176 al. 1 CPC par analogie), n'attache pas une telle conséquence à ce manquement. La jurisprudence n'est pas non plus péremptoire à ce sujet et ne considère pas que l'absence de signature d'un rapport d'expertise représente, en soi, un défaut majeur; le Tribunal fédéral se réfère bien plutôt aux circonstances du cas concret et admet que la preuve de l'auteur soit apportée au- trement (cf. arrêt 8C_252/2014 du 5 août 2014 consid. 3.3). Dans le présent cas, les deux fils de l'expert ont expliqué que leur père avait été empê- ché de signer le rapport, dont la rédaction avait été finalisée le vendredi 11 mars 2016, en raison d'un état de santé qui s'était fortement dégradé à partir du lundi suivant (cf. dos. p. 356 s.). Le collaborateur de l'expert a confirmé s'être rendu à l'hôpital le</w:t>
      </w:r>
    </w:p>
    <w:p>
      <w:r>
        <w:rPr>
          <w:b/>
        </w:rPr>
        <w:t>E. 4</w:t>
      </w:r>
    </w:p>
    <w:p>
      <w:r>
        <w:t>- 13 -</w:t>
      </w:r>
    </w:p>
    <w:p>
      <w:r>
        <w:rPr>
          <w:b/>
        </w:rPr>
        <w:t>E. 4.1</w:t>
      </w:r>
    </w:p>
    <w:p>
      <w:r>
        <w:t>Dans un deuxième moyen, les appelants soutiennent que le juge de première ins- tance a violé leur droit à la preuve en refusant de diligenter une expertise médicale sur la capacité de discernement de l'expert.</w:t>
      </w:r>
    </w:p>
    <w:p>
      <w:r>
        <w:rPr>
          <w:b/>
        </w:rPr>
        <w:t>E. 4.2</w:t>
      </w:r>
    </w:p>
    <w:p>
      <w:r>
        <w:t>Selon l'article 16 CC, est capable de discernement toute personne qui n’est pas privée de la faculté d’agir raisonnablement en raison de son jeune âge, de déficience mentale, de troubles psychiques, d’ivresse ou d’autres causes semblables. La notion de capacité de discernement comporte deux aspects: un aspect intellectuel, à savoir la ca- pacité de reconnaître le sens, l’opportunité et les effets d’un acte déterminé, et un aspect de volonté, à savoir la faculté d’agir librement en fonction de cette compréhension rai- sonnable et de pouvoir opposer une résistance suffisante à de possibles influences ex- térieures. Il s'agit d'une notion relative qui s’apprécie in concreto par rapport à un acte déterminé, en tenant compte de l'importance et de la complexité de celui-ci (ATF 134 II 235 consid. 4.3.2). La capacité de discernement est présumée, en sorte qu'il appartient à celui qui prétend qu'elle fait défaut d'apporter la preuve de l'un des états de faiblesse décrits à l'article 16 CC et de l'altération de la capacité d'agir raisonnablement qui en résulte. S'il est établi qu'une personne se trouvait durablement dans un état de faiblesse d'esprit qui, selon l'expérience générale de la vie, l'empêchait d'agir raisonnablement, elle est présumée incapable de discernement. Cette présomption de fait concerne, selon la jurisprudence, les personnes qui se trouvent, au moment de l'acte, dans un état durable d'altération mentale liée à l'âge ou à la maladie, comme cela est notoirement le cas en présence de démences séniles (arrêts 5A_191/2012 du 12 octobre 2012 consid. 4.1.2 et 6B_869/2010 du 16 septembre 2011 consid. 4.3). Un tel cas de figure a par exemple été reconnu en présence d'un syndrome psycho-organique causé par une artériosclérose sénile, d'un trouble délirant persistant, d'une démence sénile de type Alzheimer, d'une démence d'origine vasculaire avec des difficultés à saisir les conséquences de ses actes ou encore d'un syndrome démentiel mixte d'une personne âgée de 82 ans (arrêt 5A_951/2016 du 14 septembre 2017 consid. 3.1.3.1 et les réf. citées). Un simple doute sur l'état mental de la personne concernée ne suffit en revanche pas à renverser la pré- somption de capacité de discernement (arrêt 6B_869/2010 précité consid. 4.5). Il n'y a ainsi pas lieu de présumer une incapacité de discernement lorsqu'une personne se voit administrer périodiquement des médicaments et souffre d'une désorientation spatio-tem- porelle momentanée, lorsque, dans un âge avancé, elle est simplement fragile, atteinte</w:t>
      </w:r>
    </w:p>
    <w:p>
      <w:r>
        <w:t>- 14 - dans sa santé physique et temporairement confuse, lorsqu'elle souffre d'absences con- sécutives à une attaque cérébrale ou qu'elle est simplement confrontée à des trous de mémoire liés à l'âge (arrêt 5A_951/2016 précité). Le tribunal peut, par une appréciation anticipée des preuves, refuser d'administrer une expertise sur la capacité de discernement d'un individu lorsque les éléments invoqués à l'appui de cette requête de preuve n'accréditent pas la thèse d'une perte temporaire de la faculté d'agir raisonnablement, laquelle est, du reste, difficilement constatable a pos- teriori (cf. arrêt 4A_120/2019 du 20 janvier 2020 consid. 3.1). Lorsqu'il s'agit d'apprécier l'état mental d'une personne décédée, une preuve absolue est, par nature, impossible, si bien que le degré de preuve est abaissé à la vraisemblance prépondérante; il suffit alors que des raisons objectives plaident en faveur de l'exactitude de ce fait au point que d'autres possibilités envisageables n'entrent raisonnablement pas en ligne de compte de façon déterminante (ATF 144 III 264 consid. 5). Le même degré de preuve s'applique lorsque le juge procède à une appréciation anticipée des preuves (TREZZINI, La procé- dure probatoire et l'interrogatoire des parties, in Le code de procédure civile, Fondation pour la formation continue des juges suisses, journée du 9 septembre 2009, p. 5).</w:t>
      </w:r>
    </w:p>
    <w:p>
      <w:r>
        <w:rPr>
          <w:b/>
        </w:rPr>
        <w:t>E. 4.3</w:t>
      </w:r>
    </w:p>
    <w:p>
      <w:r>
        <w:t>En l'occurrence, le fait que l'expert était atteint d'un cancer du poumon, dont il est décédé le 19 mars 2016, ne suffit pas pour retenir que, au moment d'achever son ex- pertise - voire auparavant selon les appelants -, il présentait un état de faiblesse d'esprit au sens de l'article 16 CC. En l'absence d'indices d'altération des facultés mentales de l'intéressé dans le cas particulier, l'on ne peut en effet postuler que, selon l'expérience générale de la vie, une telle affection prive durablement celui qui en souffre de la capa- cité d'agir raisonnablement. Or, d'après H _________, l'état de santé de son père s'est fortement dégradé à partir du 14 mars 2016. A teneur des déclarations de E _________, qui, n'en déplaise aux appelants, n'a pas été appelé à juger de la capacité de discerne- ment de l'expert mais à décrire les faits dont il a été témoin, notamment lors de sa visite à l'hôpital les 3 et 4 mars 2016, D _________ était certes fatigué mais en mesure de dicter ses dernières observations - lesquelles, reproduites en pages 48 et 49 du rapport d'expertise, sont claires et cohérentes - et de s'assurer que son opinion était correcte- ment retranscrite. Quant à l'oubli de certains documents en l'étude de Me Ducrot le 18 janvier 2016, il ne saurait sans autres être interprété comme le signe d'une altération mentale. Au demeurant, rien ne permet de conclure que cet oubli a empêché l'expert de tenir compte de ces pièces dans l'accomplissement de sa mission puisque celui-ci avait, en novembre 2015 déjà, demandé à son collaborateur de retourner consulter le dossier du consortium pour compléter son information sur les rapports journaliers de chantier.</w:t>
      </w:r>
    </w:p>
    <w:p>
      <w:r>
        <w:t>- 15 - Dans ces circonstances, le premier juge était fondé à retenir qu'aucun élément de fait ne plaidait en faveur d'un état de faiblesse d'esprit et que l'hypothèse d'une incapacité de discernement de l'expert n'entrait raisonnablement pas en ligne de compte, si bien qu'il n'y avait pas lieu de diligenter une expertise sur ce point.</w:t>
      </w:r>
    </w:p>
    <w:p>
      <w:r>
        <w:rPr>
          <w:b/>
        </w:rPr>
        <w:t>E. 5.1</w:t>
      </w:r>
    </w:p>
    <w:p>
      <w:r>
        <w:t>Pour finir, les appelants soutiennent que le juge de district aurait, à tout le moins, dû faire compléter le rapport du 11 mars 2016 en application de l'article 188 al. 2 CPC, qui prescrit au tribunal de faire compléter - le cas échéant par un autre expert - un rapport lacunaire, peu clair ou insuffisamment motivé.</w:t>
      </w:r>
    </w:p>
    <w:p>
      <w:r>
        <w:rPr>
          <w:b/>
        </w:rPr>
        <w:t>E. 5.2</w:t>
      </w:r>
    </w:p>
    <w:p>
      <w:r>
        <w:t>L'expert étant le seul auteur de l'expertise (cf. supra consid. 3.2), le grief pris d'un défaut d'indication des passages conçus par des tiers tombe à faux. L'on ne saurait non plus suivre les appelants lorsqu'ils soutiennent que l'expert n'a pas tenu compte du résultat des auditions menées. Le fait que ce dernier avait, selon les déclarations de son collaborateur (cf. dos. p. 624, R/Q3), "déjà tiré les conclusions pour son expertise" à l'époque des auditions ne signifie pas, comme l'a d'ailleurs précisé ce même collaborateur (cf. dos. p. 627, R/Q13), qu'il avait d'emblée exclu de tenir compte du résultat de celles-ci. Il est le lieu de rappeler que c'est l'expert lui-même qui a estimé nécessaire à l'accomplissement de sa mission d'interroger un certain nombre d'interve- nants avant de rédiger "la version finale de son rapport" (cf. dos. p. 307 ss). Un travail approfondi d'analyse et de réflexion apparaît un préalable nécessaire à l'élaboration de questions aussi précises et détaillées que celles posées par l'expert pour parfaire son information sur des aspects techniques du dossier. D _________ n'a, du reste, pas mené ces auditions comme une simple formalité; relativement au point critiqué du calcul de la perte de rendement due à la géologie, il a enjoint à G _________ de lui remettre une copie du document qu'il invoquait pour justifier un pourcentage de 30 % (cf. dos. p. 352, R/Q5). L'on ne peut inférer du fait que l'expert n'a pas changé d'opinion à la suite de ces auditions qu'il a fait abstraction de celles-ci; l'expert a, au contraire, exposé pour quels motifs les informations nouvelles qui en étaient ressorties, en lien avec la principale pré- tention du consortium, n'avaient pas modifié son appréciation. C'est donc à bon escient que le juge de district n'a pas fait procéder à un complément d'expertise.</w:t>
      </w:r>
    </w:p>
    <w:p>
      <w:r>
        <w:rPr>
          <w:b/>
        </w:rPr>
        <w:t>E. 6.1</w:t>
      </w:r>
    </w:p>
    <w:p>
      <w:r>
        <w:t>L'appel étant intégralement rejeté, les frais judiciaires de seconde instance, qui se limitent à l'émolument de justice arrêté à 2000 fr. vu la contestation circonscrite céans à</w:t>
      </w:r>
    </w:p>
    <w:p>
      <w:r>
        <w:t>- 16 - la seule question de l'expertise (art. 95 al. 2 let. b et 96 CPC; art. 13 al. 1 et 2, 14 al. 1, 16 al. 1 et 19 LTar), sont mis à la charge des appelants, solidairement entre eux, et prélevés sur l'avance versée (art. 106 al. 1 et 3, 111 al. 1 CPC).</w:t>
      </w:r>
    </w:p>
    <w:p>
      <w:r>
        <w:rPr>
          <w:b/>
        </w:rPr>
        <w:t>E. 6.2</w:t>
      </w:r>
    </w:p>
    <w:p>
      <w:r>
        <w:t>L'activité de l'avocat de l'appelé ayant consisté à prendre connaissance de l'appel et à y répondre en se référant à la motivation de l'instance précédente, ses honoraires sont, compte tenu de ce travail effectif et de la valeur litigieuse, arrêtés à 3000 fr., TVA et débours inclus (art. 95 al. 3 let. b et 105 al. 2 CPC; art. 27, 29 al. 2, 32 al. 1 et 35 al. 1 let. a LTar), et mis à la charge des appelants,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